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B3" w:rsidRPr="0035282A" w:rsidRDefault="009440B3" w:rsidP="009440B3">
      <w:pPr>
        <w:rPr>
          <w:b/>
          <w:sz w:val="26"/>
          <w:szCs w:val="26"/>
        </w:rPr>
      </w:pPr>
      <w:r w:rsidRPr="0035282A">
        <w:rPr>
          <w:b/>
          <w:sz w:val="26"/>
          <w:szCs w:val="26"/>
        </w:rPr>
        <w:t xml:space="preserve">NGÂN HÀNG NHÀ NƯỚC       CỘNG HOÀ XÃ HỘI CHỦ NGHĨA VIỆT </w:t>
      </w:r>
      <w:smartTag w:uri="urn:schemas-microsoft-com:office:smarttags" w:element="country-region">
        <w:smartTag w:uri="urn:schemas-microsoft-com:office:smarttags" w:element="place">
          <w:r w:rsidRPr="0035282A">
            <w:rPr>
              <w:b/>
              <w:sz w:val="26"/>
              <w:szCs w:val="26"/>
            </w:rPr>
            <w:t>NAM</w:t>
          </w:r>
        </w:smartTag>
      </w:smartTag>
    </w:p>
    <w:p w:rsidR="009440B3" w:rsidRPr="0035282A" w:rsidRDefault="009440B3" w:rsidP="009440B3">
      <w:pPr>
        <w:rPr>
          <w:b/>
        </w:rPr>
      </w:pPr>
      <w:r w:rsidRPr="0035282A">
        <w:rPr>
          <w:b/>
          <w:sz w:val="26"/>
          <w:szCs w:val="26"/>
        </w:rPr>
        <w:tab/>
        <w:t xml:space="preserve">VIỆT </w:t>
      </w:r>
      <w:smartTag w:uri="urn:schemas-microsoft-com:office:smarttags" w:element="country-region">
        <w:smartTag w:uri="urn:schemas-microsoft-com:office:smarttags" w:element="place">
          <w:r w:rsidRPr="0035282A">
            <w:rPr>
              <w:b/>
              <w:sz w:val="26"/>
              <w:szCs w:val="26"/>
            </w:rPr>
            <w:t>NAM</w:t>
          </w:r>
        </w:smartTag>
      </w:smartTag>
      <w:r w:rsidRPr="0035282A">
        <w:rPr>
          <w:sz w:val="26"/>
          <w:szCs w:val="26"/>
        </w:rPr>
        <w:t xml:space="preserve">                                         </w:t>
      </w:r>
      <w:r w:rsidRPr="0035282A">
        <w:rPr>
          <w:b/>
          <w:sz w:val="28"/>
          <w:szCs w:val="28"/>
        </w:rPr>
        <w:t>Độc lập - Tự do - Hạnh phúc</w:t>
      </w:r>
    </w:p>
    <w:p w:rsidR="009440B3" w:rsidRPr="00C92157" w:rsidRDefault="00243600" w:rsidP="009440B3">
      <w:pPr>
        <w:spacing w:before="240" w:after="240"/>
        <w:rPr>
          <w:i/>
          <w:sz w:val="28"/>
          <w:szCs w:val="28"/>
          <w:lang w:val="en-US"/>
        </w:rPr>
      </w:pPr>
      <w:r w:rsidRPr="00243600">
        <w:rPr>
          <w:b/>
          <w:noProof/>
          <w:sz w:val="28"/>
          <w:szCs w:val="28"/>
        </w:rPr>
        <w:pict>
          <v:line id="_x0000_s1028" style="position:absolute;z-index:251662336" from="238.5pt,4.95pt" to="400.95pt,4.95pt"/>
        </w:pict>
      </w:r>
      <w:r w:rsidRPr="00243600">
        <w:rPr>
          <w:b/>
          <w:noProof/>
          <w:sz w:val="28"/>
          <w:szCs w:val="28"/>
        </w:rPr>
        <w:pict>
          <v:line id="_x0000_s1027" style="position:absolute;z-index:251661312" from="36.75pt,1.45pt" to="99.75pt,1.45pt"/>
        </w:pict>
      </w:r>
      <w:r w:rsidR="009440B3" w:rsidRPr="0035282A">
        <w:rPr>
          <w:sz w:val="28"/>
          <w:szCs w:val="28"/>
        </w:rPr>
        <w:t>Số :         /201</w:t>
      </w:r>
      <w:r w:rsidR="00C92157">
        <w:rPr>
          <w:sz w:val="28"/>
          <w:szCs w:val="28"/>
          <w:lang w:val="en-US"/>
        </w:rPr>
        <w:t>5</w:t>
      </w:r>
      <w:r w:rsidR="009440B3" w:rsidRPr="0035282A">
        <w:rPr>
          <w:sz w:val="28"/>
          <w:szCs w:val="28"/>
        </w:rPr>
        <w:t>/TT-NHNN</w:t>
      </w:r>
      <w:r w:rsidR="009440B3" w:rsidRPr="0035282A">
        <w:t xml:space="preserve">                    </w:t>
      </w:r>
      <w:r w:rsidR="009440B3" w:rsidRPr="0035282A">
        <w:rPr>
          <w:lang w:val="en-US"/>
        </w:rPr>
        <w:t xml:space="preserve">       </w:t>
      </w:r>
      <w:r w:rsidR="009440B3" w:rsidRPr="0035282A">
        <w:rPr>
          <w:i/>
          <w:sz w:val="28"/>
          <w:szCs w:val="28"/>
        </w:rPr>
        <w:t xml:space="preserve"> Hà Nội, ngày       tháng       năm 201</w:t>
      </w:r>
      <w:r w:rsidR="00C92157">
        <w:rPr>
          <w:i/>
          <w:sz w:val="28"/>
          <w:szCs w:val="28"/>
          <w:lang w:val="en-US"/>
        </w:rPr>
        <w:t>5</w:t>
      </w:r>
    </w:p>
    <w:p w:rsidR="009440B3" w:rsidRPr="0035282A" w:rsidRDefault="00243600" w:rsidP="009440B3">
      <w:pPr>
        <w:spacing w:before="120" w:after="120"/>
        <w:jc w:val="center"/>
        <w:rPr>
          <w:b/>
          <w:i/>
        </w:rPr>
      </w:pPr>
      <w:r w:rsidRPr="00243600">
        <w:rPr>
          <w:b/>
          <w:i/>
          <w:noProof/>
          <w:lang w:val="en-GB" w:eastAsia="en-GB"/>
        </w:rPr>
        <w:pict>
          <v:rect id="_x0000_s1029" style="position:absolute;left:0;text-align:left;margin-left:29.7pt;margin-top:-5.85pt;width:87pt;height:26.25pt;z-index:251663360">
            <v:textbox>
              <w:txbxContent>
                <w:p w:rsidR="009440B3" w:rsidRDefault="009440B3" w:rsidP="009440B3">
                  <w:pPr>
                    <w:spacing w:before="60"/>
                    <w:jc w:val="center"/>
                  </w:pPr>
                  <w:r>
                    <w:t>DỰ THẢO</w:t>
                  </w:r>
                </w:p>
              </w:txbxContent>
            </v:textbox>
          </v:rect>
        </w:pict>
      </w:r>
    </w:p>
    <w:p w:rsidR="009440B3" w:rsidRPr="0035282A" w:rsidRDefault="009440B3" w:rsidP="009440B3">
      <w:pPr>
        <w:spacing w:before="120" w:after="120" w:line="360" w:lineRule="exact"/>
        <w:jc w:val="center"/>
        <w:rPr>
          <w:b/>
          <w:sz w:val="28"/>
          <w:szCs w:val="28"/>
        </w:rPr>
      </w:pPr>
      <w:r w:rsidRPr="0035282A">
        <w:rPr>
          <w:b/>
          <w:sz w:val="28"/>
          <w:szCs w:val="28"/>
        </w:rPr>
        <w:t>THÔNG TƯ</w:t>
      </w:r>
    </w:p>
    <w:p w:rsidR="007175E1" w:rsidRDefault="009440B3" w:rsidP="009440B3">
      <w:pPr>
        <w:spacing w:line="360" w:lineRule="exact"/>
        <w:jc w:val="center"/>
        <w:rPr>
          <w:b/>
          <w:sz w:val="28"/>
          <w:lang w:val="en-US"/>
        </w:rPr>
      </w:pPr>
      <w:r w:rsidRPr="0035282A">
        <w:rPr>
          <w:b/>
          <w:sz w:val="28"/>
          <w:lang w:val="en-US"/>
        </w:rPr>
        <w:t xml:space="preserve">Sửa đổi, bổ sung một số điều của Thông tư </w:t>
      </w:r>
      <w:r w:rsidR="00C06A47">
        <w:rPr>
          <w:b/>
          <w:sz w:val="28"/>
          <w:lang w:val="en-US"/>
        </w:rPr>
        <w:t xml:space="preserve">31/2012/TT-NHNN </w:t>
      </w:r>
    </w:p>
    <w:p w:rsidR="009440B3" w:rsidRPr="0035282A" w:rsidRDefault="00C06A47" w:rsidP="009440B3">
      <w:pPr>
        <w:spacing w:line="360" w:lineRule="exact"/>
        <w:jc w:val="center"/>
        <w:rPr>
          <w:b/>
          <w:sz w:val="28"/>
        </w:rPr>
      </w:pPr>
      <w:r>
        <w:rPr>
          <w:b/>
          <w:sz w:val="28"/>
          <w:lang w:val="en-US"/>
        </w:rPr>
        <w:t xml:space="preserve">ngày 26/11/2012 </w:t>
      </w:r>
      <w:r w:rsidR="006E4406">
        <w:rPr>
          <w:b/>
          <w:sz w:val="28"/>
          <w:lang w:val="en-US"/>
        </w:rPr>
        <w:t xml:space="preserve">quy định </w:t>
      </w:r>
      <w:r>
        <w:rPr>
          <w:b/>
          <w:sz w:val="28"/>
          <w:lang w:val="en-US"/>
        </w:rPr>
        <w:t xml:space="preserve">về Ngân hàng Hợp tác xã </w:t>
      </w:r>
    </w:p>
    <w:p w:rsidR="009440B3" w:rsidRPr="0035282A" w:rsidRDefault="00243600" w:rsidP="009440B3">
      <w:pPr>
        <w:pStyle w:val="Than"/>
        <w:spacing w:line="360" w:lineRule="exact"/>
        <w:jc w:val="center"/>
        <w:rPr>
          <w:lang w:val="en-US"/>
        </w:rPr>
      </w:pPr>
      <w:r>
        <w:rPr>
          <w:noProof/>
        </w:rPr>
        <w:pict>
          <v:line id="_x0000_s1026" style="position:absolute;left:0;text-align:left;z-index:251660288" from="2in,5.8pt" to="306pt,5.8pt"/>
        </w:pict>
      </w:r>
    </w:p>
    <w:p w:rsidR="002E334A" w:rsidRPr="002E334A" w:rsidRDefault="002E334A" w:rsidP="000A7AAE">
      <w:pPr>
        <w:pStyle w:val="Than"/>
        <w:spacing w:before="60" w:after="60" w:line="340" w:lineRule="exact"/>
        <w:rPr>
          <w:i/>
          <w:lang w:val="en-US"/>
        </w:rPr>
      </w:pPr>
      <w:r w:rsidRPr="002E334A">
        <w:rPr>
          <w:i/>
          <w:lang w:val="en-US"/>
        </w:rPr>
        <w:t>Căn cứ Luật Ngân hàng Nhà nước Việt Nam số 46/2010/QH12 ngày 16 tháng 6 năm 2010;</w:t>
      </w:r>
    </w:p>
    <w:p w:rsidR="002E334A" w:rsidRPr="002E334A" w:rsidRDefault="002E334A" w:rsidP="000A7AAE">
      <w:pPr>
        <w:pStyle w:val="Than"/>
        <w:spacing w:before="60" w:after="60" w:line="340" w:lineRule="exact"/>
        <w:rPr>
          <w:i/>
          <w:lang w:val="en-US"/>
        </w:rPr>
      </w:pPr>
      <w:r w:rsidRPr="002E334A">
        <w:rPr>
          <w:i/>
          <w:lang w:val="en-US"/>
        </w:rPr>
        <w:t>Căn cứ Luật Các tổ chức tín dụng số 47/2010/QH12 ngày 16 tháng 6 năm 2010;</w:t>
      </w:r>
    </w:p>
    <w:p w:rsidR="002E334A" w:rsidRPr="002E334A" w:rsidRDefault="002E334A" w:rsidP="000A7AAE">
      <w:pPr>
        <w:pStyle w:val="Than"/>
        <w:spacing w:before="60" w:after="60" w:line="340" w:lineRule="exact"/>
        <w:rPr>
          <w:i/>
          <w:lang w:val="en-US"/>
        </w:rPr>
      </w:pPr>
      <w:r w:rsidRPr="002E334A">
        <w:rPr>
          <w:i/>
          <w:lang w:val="en-US"/>
        </w:rPr>
        <w:t>Căn cứ Luật Doanh nghiệp số 6</w:t>
      </w:r>
      <w:r w:rsidR="00B30DF2">
        <w:rPr>
          <w:i/>
          <w:lang w:val="en-US"/>
        </w:rPr>
        <w:t>8</w:t>
      </w:r>
      <w:r w:rsidRPr="002E334A">
        <w:rPr>
          <w:i/>
          <w:lang w:val="en-US"/>
        </w:rPr>
        <w:t>/20</w:t>
      </w:r>
      <w:r w:rsidR="00B30DF2">
        <w:rPr>
          <w:i/>
          <w:lang w:val="en-US"/>
        </w:rPr>
        <w:t>14</w:t>
      </w:r>
      <w:r w:rsidRPr="002E334A">
        <w:rPr>
          <w:i/>
          <w:lang w:val="en-US"/>
        </w:rPr>
        <w:t>/QH1</w:t>
      </w:r>
      <w:r w:rsidR="00B30DF2">
        <w:rPr>
          <w:i/>
          <w:lang w:val="en-US"/>
        </w:rPr>
        <w:t>3</w:t>
      </w:r>
      <w:r w:rsidRPr="002E334A">
        <w:rPr>
          <w:i/>
          <w:lang w:val="en-US"/>
        </w:rPr>
        <w:t xml:space="preserve"> ngày 2</w:t>
      </w:r>
      <w:r w:rsidR="00B30DF2">
        <w:rPr>
          <w:i/>
          <w:lang w:val="en-US"/>
        </w:rPr>
        <w:t>6</w:t>
      </w:r>
      <w:r w:rsidRPr="002E334A">
        <w:rPr>
          <w:i/>
          <w:lang w:val="en-US"/>
        </w:rPr>
        <w:t xml:space="preserve"> tháng 11 năm 20</w:t>
      </w:r>
      <w:r w:rsidR="00B30DF2">
        <w:rPr>
          <w:i/>
          <w:lang w:val="en-US"/>
        </w:rPr>
        <w:t>14</w:t>
      </w:r>
      <w:r w:rsidRPr="002E334A">
        <w:rPr>
          <w:i/>
          <w:lang w:val="en-US"/>
        </w:rPr>
        <w:t>;</w:t>
      </w:r>
    </w:p>
    <w:p w:rsidR="002E334A" w:rsidRPr="002E334A" w:rsidRDefault="002E334A" w:rsidP="000A7AAE">
      <w:pPr>
        <w:pStyle w:val="Than"/>
        <w:spacing w:before="60" w:after="60" w:line="340" w:lineRule="exact"/>
        <w:rPr>
          <w:i/>
          <w:lang w:val="en-US"/>
        </w:rPr>
      </w:pPr>
      <w:r w:rsidRPr="002E334A">
        <w:rPr>
          <w:i/>
          <w:lang w:val="en-US"/>
        </w:rPr>
        <w:t xml:space="preserve">Căn cứ Luật Hợp tác xã số </w:t>
      </w:r>
      <w:r w:rsidR="00B30DF2">
        <w:rPr>
          <w:i/>
          <w:lang w:val="en-US"/>
        </w:rPr>
        <w:t>23</w:t>
      </w:r>
      <w:r w:rsidRPr="002E334A">
        <w:rPr>
          <w:i/>
          <w:lang w:val="en-US"/>
        </w:rPr>
        <w:t>/20</w:t>
      </w:r>
      <w:r w:rsidR="00B30DF2">
        <w:rPr>
          <w:i/>
          <w:lang w:val="en-US"/>
        </w:rPr>
        <w:t>12</w:t>
      </w:r>
      <w:r w:rsidRPr="002E334A">
        <w:rPr>
          <w:i/>
          <w:lang w:val="en-US"/>
        </w:rPr>
        <w:t>/QH1</w:t>
      </w:r>
      <w:r w:rsidR="00B30DF2">
        <w:rPr>
          <w:i/>
          <w:lang w:val="en-US"/>
        </w:rPr>
        <w:t>3</w:t>
      </w:r>
      <w:r w:rsidRPr="002E334A">
        <w:rPr>
          <w:i/>
          <w:lang w:val="en-US"/>
        </w:rPr>
        <w:t xml:space="preserve"> ngày 2</w:t>
      </w:r>
      <w:r w:rsidR="00B30DF2">
        <w:rPr>
          <w:i/>
          <w:lang w:val="en-US"/>
        </w:rPr>
        <w:t>0</w:t>
      </w:r>
      <w:r w:rsidRPr="002E334A">
        <w:rPr>
          <w:i/>
          <w:lang w:val="en-US"/>
        </w:rPr>
        <w:t xml:space="preserve"> tháng 11 năm 20</w:t>
      </w:r>
      <w:r w:rsidR="00B30DF2">
        <w:rPr>
          <w:i/>
          <w:lang w:val="en-US"/>
        </w:rPr>
        <w:t>12</w:t>
      </w:r>
      <w:r w:rsidRPr="002E334A">
        <w:rPr>
          <w:i/>
          <w:lang w:val="en-US"/>
        </w:rPr>
        <w:t>;</w:t>
      </w:r>
    </w:p>
    <w:p w:rsidR="002E334A" w:rsidRPr="002E334A" w:rsidRDefault="002E334A" w:rsidP="000A7AAE">
      <w:pPr>
        <w:pStyle w:val="Than"/>
        <w:spacing w:before="60" w:after="60" w:line="340" w:lineRule="exact"/>
        <w:rPr>
          <w:i/>
          <w:lang w:val="en-US"/>
        </w:rPr>
      </w:pPr>
      <w:r w:rsidRPr="002E334A">
        <w:rPr>
          <w:i/>
          <w:lang w:val="en-US"/>
        </w:rPr>
        <w:t xml:space="preserve">Căn cứ Nghị định số </w:t>
      </w:r>
      <w:r w:rsidR="001E3EE3">
        <w:rPr>
          <w:i/>
          <w:lang w:val="en-US"/>
        </w:rPr>
        <w:t>15</w:t>
      </w:r>
      <w:r w:rsidRPr="002E334A">
        <w:rPr>
          <w:i/>
          <w:lang w:val="en-US"/>
        </w:rPr>
        <w:t>6/20</w:t>
      </w:r>
      <w:r w:rsidR="001E3EE3">
        <w:rPr>
          <w:i/>
          <w:lang w:val="en-US"/>
        </w:rPr>
        <w:t>13</w:t>
      </w:r>
      <w:r w:rsidRPr="002E334A">
        <w:rPr>
          <w:i/>
          <w:lang w:val="en-US"/>
        </w:rPr>
        <w:t xml:space="preserve">/NĐ-CP ngày </w:t>
      </w:r>
      <w:r w:rsidR="001E3EE3">
        <w:rPr>
          <w:i/>
          <w:lang w:val="en-US"/>
        </w:rPr>
        <w:t>11</w:t>
      </w:r>
      <w:r w:rsidRPr="002E334A">
        <w:rPr>
          <w:i/>
          <w:lang w:val="en-US"/>
        </w:rPr>
        <w:t xml:space="preserve"> tháng </w:t>
      </w:r>
      <w:r w:rsidR="001E3EE3">
        <w:rPr>
          <w:i/>
          <w:lang w:val="en-US"/>
        </w:rPr>
        <w:t>11</w:t>
      </w:r>
      <w:r w:rsidRPr="002E334A">
        <w:rPr>
          <w:i/>
          <w:lang w:val="en-US"/>
        </w:rPr>
        <w:t xml:space="preserve"> năm 20</w:t>
      </w:r>
      <w:r w:rsidR="001E3EE3">
        <w:rPr>
          <w:i/>
          <w:lang w:val="en-US"/>
        </w:rPr>
        <w:t>13</w:t>
      </w:r>
      <w:r w:rsidRPr="002E334A">
        <w:rPr>
          <w:i/>
          <w:lang w:val="en-US"/>
        </w:rPr>
        <w:t xml:space="preserve"> của Chính phủ quy định chức năng, nhiệm vụ, quyền hạn và cơ cấu tổ chức của Ngân hàng Nhà nước Việt Nam;</w:t>
      </w:r>
    </w:p>
    <w:p w:rsidR="00292A1C" w:rsidRDefault="00292A1C" w:rsidP="000A7AAE">
      <w:pPr>
        <w:pStyle w:val="Than"/>
        <w:spacing w:before="60" w:after="60" w:line="340" w:lineRule="exact"/>
        <w:rPr>
          <w:i/>
          <w:lang w:val="en-US"/>
        </w:rPr>
      </w:pPr>
      <w:r w:rsidRPr="002E334A">
        <w:rPr>
          <w:i/>
          <w:lang w:val="en-US"/>
        </w:rPr>
        <w:t xml:space="preserve">Căn cứ </w:t>
      </w:r>
      <w:r w:rsidRPr="0035282A">
        <w:rPr>
          <w:i/>
          <w:lang w:val="en-US"/>
        </w:rPr>
        <w:t xml:space="preserve">Thông tư </w:t>
      </w:r>
      <w:r>
        <w:rPr>
          <w:i/>
          <w:lang w:val="en-US"/>
        </w:rPr>
        <w:t>31</w:t>
      </w:r>
      <w:r w:rsidRPr="0035282A">
        <w:rPr>
          <w:i/>
          <w:lang w:val="en-US"/>
        </w:rPr>
        <w:t>/</w:t>
      </w:r>
      <w:r>
        <w:rPr>
          <w:i/>
          <w:lang w:val="en-US"/>
        </w:rPr>
        <w:t>2012/</w:t>
      </w:r>
      <w:r w:rsidRPr="0035282A">
        <w:rPr>
          <w:i/>
          <w:lang w:val="en-US"/>
        </w:rPr>
        <w:t xml:space="preserve">TT-NHNN ngày </w:t>
      </w:r>
      <w:r>
        <w:rPr>
          <w:i/>
          <w:lang w:val="en-US"/>
        </w:rPr>
        <w:t xml:space="preserve">26 tháng 11 năm </w:t>
      </w:r>
      <w:r w:rsidRPr="0035282A">
        <w:rPr>
          <w:i/>
          <w:lang w:val="en-US"/>
        </w:rPr>
        <w:t xml:space="preserve">2012 về </w:t>
      </w:r>
      <w:r>
        <w:rPr>
          <w:i/>
          <w:lang w:val="en-US"/>
        </w:rPr>
        <w:t>Ngân hàng hợp tác xã;</w:t>
      </w:r>
    </w:p>
    <w:p w:rsidR="002E334A" w:rsidRPr="002E334A" w:rsidRDefault="002E334A" w:rsidP="000A7AAE">
      <w:pPr>
        <w:pStyle w:val="Than"/>
        <w:spacing w:before="60" w:after="60" w:line="340" w:lineRule="exact"/>
        <w:rPr>
          <w:i/>
          <w:lang w:val="en-US"/>
        </w:rPr>
      </w:pPr>
      <w:r w:rsidRPr="002E334A">
        <w:rPr>
          <w:i/>
          <w:lang w:val="en-US"/>
        </w:rPr>
        <w:t>Theo đề nghị của Chánh Thanh tra, giám sát ngân hàng;</w:t>
      </w:r>
    </w:p>
    <w:p w:rsidR="009440B3" w:rsidRPr="0035282A" w:rsidRDefault="009440B3" w:rsidP="000A7AAE">
      <w:pPr>
        <w:pStyle w:val="Than"/>
        <w:spacing w:before="60" w:after="60" w:line="340" w:lineRule="exact"/>
        <w:rPr>
          <w:i/>
        </w:rPr>
      </w:pPr>
      <w:r w:rsidRPr="0035282A">
        <w:rPr>
          <w:i/>
          <w:lang w:val="en-US"/>
        </w:rPr>
        <w:t xml:space="preserve">Thống đốc </w:t>
      </w:r>
      <w:r w:rsidRPr="0035282A">
        <w:rPr>
          <w:i/>
        </w:rPr>
        <w:t xml:space="preserve">Ngân hàng Nhà nước Việt Nam </w:t>
      </w:r>
      <w:r w:rsidRPr="0035282A">
        <w:rPr>
          <w:i/>
          <w:lang w:val="en-US"/>
        </w:rPr>
        <w:t xml:space="preserve">ban hành Thông tư sửa đổi, bổ sung một số điều của Thông tư </w:t>
      </w:r>
      <w:r w:rsidR="002E334A">
        <w:rPr>
          <w:i/>
          <w:lang w:val="en-US"/>
        </w:rPr>
        <w:t>31</w:t>
      </w:r>
      <w:r w:rsidRPr="0035282A">
        <w:rPr>
          <w:i/>
          <w:lang w:val="en-US"/>
        </w:rPr>
        <w:t>/</w:t>
      </w:r>
      <w:r w:rsidR="002E334A">
        <w:rPr>
          <w:i/>
          <w:lang w:val="en-US"/>
        </w:rPr>
        <w:t>2012/</w:t>
      </w:r>
      <w:r w:rsidRPr="0035282A">
        <w:rPr>
          <w:i/>
          <w:lang w:val="en-US"/>
        </w:rPr>
        <w:t xml:space="preserve">TT-NHNN ngày </w:t>
      </w:r>
      <w:r w:rsidR="00683A97">
        <w:rPr>
          <w:i/>
          <w:lang w:val="en-US"/>
        </w:rPr>
        <w:t>26</w:t>
      </w:r>
      <w:r w:rsidR="00292A1C">
        <w:rPr>
          <w:i/>
          <w:lang w:val="en-US"/>
        </w:rPr>
        <w:t xml:space="preserve"> tháng </w:t>
      </w:r>
      <w:r w:rsidR="00683A97">
        <w:rPr>
          <w:i/>
          <w:lang w:val="en-US"/>
        </w:rPr>
        <w:t>11</w:t>
      </w:r>
      <w:r w:rsidR="00292A1C">
        <w:rPr>
          <w:i/>
          <w:lang w:val="en-US"/>
        </w:rPr>
        <w:t xml:space="preserve"> năm </w:t>
      </w:r>
      <w:r w:rsidRPr="0035282A">
        <w:rPr>
          <w:i/>
          <w:lang w:val="en-US"/>
        </w:rPr>
        <w:t xml:space="preserve">2012 </w:t>
      </w:r>
      <w:r w:rsidR="006E4406" w:rsidRPr="006E4406">
        <w:rPr>
          <w:i/>
          <w:lang w:val="en-US"/>
        </w:rPr>
        <w:t>quy định</w:t>
      </w:r>
      <w:r w:rsidR="006E4406" w:rsidRPr="0035282A">
        <w:rPr>
          <w:i/>
          <w:lang w:val="en-US"/>
        </w:rPr>
        <w:t xml:space="preserve"> </w:t>
      </w:r>
      <w:r w:rsidRPr="0035282A">
        <w:rPr>
          <w:i/>
          <w:lang w:val="en-US"/>
        </w:rPr>
        <w:t xml:space="preserve">về </w:t>
      </w:r>
      <w:r w:rsidR="00683A97">
        <w:rPr>
          <w:i/>
          <w:lang w:val="en-US"/>
        </w:rPr>
        <w:t>Ngân hàng hợp tác xã</w:t>
      </w:r>
      <w:r w:rsidRPr="0035282A">
        <w:rPr>
          <w:i/>
          <w:lang w:val="en-US"/>
        </w:rPr>
        <w:t>.</w:t>
      </w:r>
      <w:r w:rsidRPr="0035282A">
        <w:rPr>
          <w:i/>
        </w:rPr>
        <w:t xml:space="preserve">   </w:t>
      </w:r>
    </w:p>
    <w:p w:rsidR="009440B3" w:rsidRPr="005A6945" w:rsidRDefault="009440B3" w:rsidP="004D24C9">
      <w:pPr>
        <w:pStyle w:val="Dieu"/>
        <w:spacing w:before="60" w:after="60" w:line="340" w:lineRule="exact"/>
        <w:jc w:val="both"/>
      </w:pPr>
      <w:r w:rsidRPr="005A6945">
        <w:t xml:space="preserve">Điều 1. Sửa đổi, bổ sung một số điều của </w:t>
      </w:r>
      <w:r w:rsidR="001C4EF2" w:rsidRPr="005A6945">
        <w:t xml:space="preserve">Thông tư 31/2012/TT-NHNN ngày 26/11/2012 </w:t>
      </w:r>
      <w:r w:rsidR="006E4406">
        <w:rPr>
          <w:lang w:val="en-US"/>
        </w:rPr>
        <w:t xml:space="preserve">quy định </w:t>
      </w:r>
      <w:r w:rsidR="001C4EF2" w:rsidRPr="005A6945">
        <w:t xml:space="preserve">về Ngân hàng </w:t>
      </w:r>
      <w:r w:rsidR="006E4406">
        <w:rPr>
          <w:lang w:val="en-US"/>
        </w:rPr>
        <w:t>H</w:t>
      </w:r>
      <w:r w:rsidR="001C4EF2" w:rsidRPr="005A6945">
        <w:t>ợp tác xã</w:t>
      </w:r>
      <w:r w:rsidRPr="005A6945">
        <w:t>:</w:t>
      </w:r>
    </w:p>
    <w:p w:rsidR="009440B3" w:rsidRPr="00C92B0B" w:rsidRDefault="00D93DFF" w:rsidP="004D24C9">
      <w:pPr>
        <w:spacing w:before="60" w:after="60" w:line="340" w:lineRule="exact"/>
        <w:ind w:firstLine="720"/>
        <w:rPr>
          <w:i/>
          <w:sz w:val="28"/>
          <w:szCs w:val="28"/>
        </w:rPr>
      </w:pPr>
      <w:r w:rsidRPr="00C92B0B">
        <w:rPr>
          <w:i/>
          <w:sz w:val="28"/>
          <w:szCs w:val="28"/>
          <w:lang w:val="en-US"/>
        </w:rPr>
        <w:t>1</w:t>
      </w:r>
      <w:r w:rsidR="009440B3" w:rsidRPr="00C92B0B">
        <w:rPr>
          <w:i/>
          <w:sz w:val="28"/>
          <w:szCs w:val="28"/>
        </w:rPr>
        <w:t xml:space="preserve">. </w:t>
      </w:r>
      <w:r w:rsidR="00452BC5" w:rsidRPr="00C92B0B">
        <w:rPr>
          <w:i/>
          <w:sz w:val="28"/>
          <w:szCs w:val="28"/>
          <w:lang w:val="en-US"/>
        </w:rPr>
        <w:t>K</w:t>
      </w:r>
      <w:r w:rsidRPr="00C92B0B">
        <w:rPr>
          <w:i/>
          <w:sz w:val="28"/>
          <w:szCs w:val="28"/>
          <w:lang w:val="en-US"/>
        </w:rPr>
        <w:t xml:space="preserve">hoản 2 </w:t>
      </w:r>
      <w:r w:rsidR="006847F7" w:rsidRPr="00C92B0B">
        <w:rPr>
          <w:i/>
          <w:sz w:val="28"/>
          <w:szCs w:val="28"/>
          <w:lang w:val="en-US"/>
        </w:rPr>
        <w:t>Điều 41 được s</w:t>
      </w:r>
      <w:r w:rsidR="009440B3" w:rsidRPr="00C92B0B">
        <w:rPr>
          <w:i/>
          <w:sz w:val="28"/>
          <w:szCs w:val="28"/>
        </w:rPr>
        <w:t>ửa đổi, bổ sung như sau:</w:t>
      </w:r>
    </w:p>
    <w:p w:rsidR="006E4406" w:rsidRPr="006E4406" w:rsidRDefault="009440B3" w:rsidP="004D24C9">
      <w:pPr>
        <w:pStyle w:val="Dieu"/>
        <w:spacing w:before="60" w:after="60" w:line="340" w:lineRule="exact"/>
        <w:jc w:val="both"/>
        <w:rPr>
          <w:b w:val="0"/>
          <w:lang w:val="en-US"/>
        </w:rPr>
      </w:pPr>
      <w:r w:rsidRPr="00CB3756">
        <w:rPr>
          <w:b w:val="0"/>
          <w:lang w:val="en-US"/>
        </w:rPr>
        <w:t>“</w:t>
      </w:r>
      <w:r w:rsidR="006E4406" w:rsidRPr="006E4406">
        <w:rPr>
          <w:b w:val="0"/>
          <w:lang w:val="en-US"/>
        </w:rPr>
        <w:t xml:space="preserve">2. Nhận tiền gửi, cho vay điều hòa vốn đối với </w:t>
      </w:r>
      <w:r w:rsidR="00EE206D">
        <w:rPr>
          <w:b w:val="0"/>
          <w:lang w:val="en-US"/>
        </w:rPr>
        <w:t xml:space="preserve">tất cả </w:t>
      </w:r>
      <w:bookmarkStart w:id="0" w:name="_GoBack"/>
      <w:bookmarkEnd w:id="0"/>
      <w:r w:rsidR="006E4406" w:rsidRPr="006E4406">
        <w:rPr>
          <w:b w:val="0"/>
          <w:lang w:val="en-US"/>
        </w:rPr>
        <w:t>các quỹ tín dụng nhân dân thành viên theo Quy chế điều hòa vốn.</w:t>
      </w:r>
    </w:p>
    <w:p w:rsidR="009B6D1A" w:rsidRPr="004D24C9" w:rsidRDefault="009B6D1A" w:rsidP="004D24C9">
      <w:pPr>
        <w:pStyle w:val="NormalWeb"/>
        <w:shd w:val="clear" w:color="auto" w:fill="FFFFFF"/>
        <w:spacing w:before="60" w:beforeAutospacing="0" w:after="60" w:afterAutospacing="0" w:line="340" w:lineRule="exact"/>
        <w:ind w:firstLine="720"/>
        <w:jc w:val="both"/>
        <w:rPr>
          <w:color w:val="000000"/>
          <w:sz w:val="28"/>
          <w:szCs w:val="28"/>
          <w:lang w:val="pt-BR"/>
        </w:rPr>
      </w:pPr>
      <w:r w:rsidRPr="004D24C9">
        <w:rPr>
          <w:color w:val="000000"/>
          <w:sz w:val="28"/>
          <w:szCs w:val="28"/>
          <w:lang w:val="pt-BR"/>
        </w:rPr>
        <w:t>Quy chế điều hòa vốn phải được lấy ý kiến của tất cả các quỹ tín dụng nhân dân thành viên, Người đại diện vốn Nhà nước tại Ngân hàng Hợp tác xã phải báo cáo Chủ sở hữu Quy chế điều hòa vốn trước khi thông qua tại Đại hội thành viên Ngân hàng Hợp tác xã. Quy chế điều hòa vốn phải được công khai đến tất cả các quỹ tín dụng nhân dân thành viên. Nội dung của Quy chế điều hòa vốn phải bao gồm các nội dung sau:</w:t>
      </w:r>
    </w:p>
    <w:p w:rsidR="009B6D1A" w:rsidRPr="000F6A59" w:rsidRDefault="009B6D1A" w:rsidP="004D24C9">
      <w:pPr>
        <w:pStyle w:val="Dieu"/>
        <w:spacing w:before="60" w:after="60" w:line="340" w:lineRule="exact"/>
        <w:jc w:val="both"/>
        <w:rPr>
          <w:b w:val="0"/>
          <w:color w:val="000000"/>
          <w:lang w:val="en-US"/>
        </w:rPr>
      </w:pPr>
      <w:r w:rsidRPr="004D24C9">
        <w:rPr>
          <w:b w:val="0"/>
        </w:rPr>
        <w:t>a)</w:t>
      </w:r>
      <w:r w:rsidRPr="004D24C9">
        <w:t xml:space="preserve"> </w:t>
      </w:r>
      <w:r w:rsidRPr="004D24C9">
        <w:rPr>
          <w:b w:val="0"/>
        </w:rPr>
        <w:t>Quy định về việc xác định vốn</w:t>
      </w:r>
      <w:r w:rsidRPr="004D24C9">
        <w:rPr>
          <w:b w:val="0"/>
          <w:lang w:val="en-US"/>
        </w:rPr>
        <w:t xml:space="preserve"> </w:t>
      </w:r>
      <w:r w:rsidRPr="0086057B">
        <w:rPr>
          <w:b w:val="0"/>
          <w:lang w:val="en-US"/>
        </w:rPr>
        <w:t>nhàn rỗi</w:t>
      </w:r>
      <w:r w:rsidRPr="0086057B">
        <w:rPr>
          <w:b w:val="0"/>
        </w:rPr>
        <w:t>,</w:t>
      </w:r>
      <w:r w:rsidRPr="004D24C9">
        <w:rPr>
          <w:b w:val="0"/>
        </w:rPr>
        <w:t xml:space="preserve"> trong đó</w:t>
      </w:r>
      <w:r w:rsidRPr="004D24C9">
        <w:t xml:space="preserve"> </w:t>
      </w:r>
      <w:r w:rsidRPr="004D24C9">
        <w:rPr>
          <w:b w:val="0"/>
          <w:kern w:val="32"/>
        </w:rPr>
        <w:t xml:space="preserve">bao gồm  </w:t>
      </w:r>
      <w:r w:rsidRPr="004D24C9">
        <w:rPr>
          <w:b w:val="0"/>
          <w:kern w:val="32"/>
          <w:lang w:val="pt-BR"/>
        </w:rPr>
        <w:t xml:space="preserve">quy trình, </w:t>
      </w:r>
      <w:r w:rsidRPr="004D24C9">
        <w:rPr>
          <w:b w:val="0"/>
          <w:kern w:val="32"/>
        </w:rPr>
        <w:t>p</w:t>
      </w:r>
      <w:r w:rsidRPr="004D24C9">
        <w:rPr>
          <w:b w:val="0"/>
          <w:snapToGrid w:val="0"/>
        </w:rPr>
        <w:t xml:space="preserve">hương pháp xác định vốn nhàn rỗi đảm bảo </w:t>
      </w:r>
      <w:r w:rsidRPr="004D24C9">
        <w:rPr>
          <w:b w:val="0"/>
          <w:kern w:val="32"/>
        </w:rPr>
        <w:t xml:space="preserve">phản ánh </w:t>
      </w:r>
      <w:r w:rsidRPr="004D24C9">
        <w:rPr>
          <w:b w:val="0"/>
          <w:kern w:val="32"/>
          <w:lang w:val="pt-BR"/>
        </w:rPr>
        <w:t>số vốn của quỹ tín dụng nhân dân tạm thời chưa sử dụng</w:t>
      </w:r>
      <w:r w:rsidRPr="004D24C9">
        <w:rPr>
          <w:b w:val="0"/>
          <w:kern w:val="32"/>
        </w:rPr>
        <w:t xml:space="preserve"> trên trong quý tiếp theo</w:t>
      </w:r>
      <w:r w:rsidRPr="004D24C9">
        <w:rPr>
          <w:b w:val="0"/>
          <w:kern w:val="32"/>
          <w:lang w:val="en-US"/>
        </w:rPr>
        <w:t xml:space="preserve"> trên</w:t>
      </w:r>
      <w:r w:rsidRPr="004D24C9">
        <w:rPr>
          <w:b w:val="0"/>
          <w:kern w:val="32"/>
        </w:rPr>
        <w:t xml:space="preserve"> cơ sở báo cáo của </w:t>
      </w:r>
      <w:r w:rsidRPr="004D24C9">
        <w:rPr>
          <w:b w:val="0"/>
          <w:kern w:val="32"/>
        </w:rPr>
        <w:lastRenderedPageBreak/>
        <w:t>QTDND về tỷ lệ khả năng chi trả, nguồn vốn, kế hoạch sử dụng vốn.</w:t>
      </w:r>
      <w:r w:rsidRPr="004D24C9">
        <w:rPr>
          <w:b w:val="0"/>
          <w:kern w:val="32"/>
          <w:lang w:val="pt-BR"/>
        </w:rPr>
        <w:t xml:space="preserve"> </w:t>
      </w:r>
      <w:r w:rsidRPr="004D24C9">
        <w:rPr>
          <w:b w:val="0"/>
        </w:rPr>
        <w:t xml:space="preserve">Vốn nhàn rỗi của quỹ tín dụng nhân dân thành viên phải gửi vào tài khoản tiền gửi điều hòa vốn tại </w:t>
      </w:r>
      <w:r w:rsidRPr="004D24C9">
        <w:rPr>
          <w:b w:val="0"/>
          <w:lang w:val="pt-BR"/>
        </w:rPr>
        <w:t>N</w:t>
      </w:r>
      <w:r w:rsidRPr="004D24C9">
        <w:rPr>
          <w:b w:val="0"/>
        </w:rPr>
        <w:t>gân hàng hợp tác xã và được duy trì ở một tỷ lệ vốn nhàn rỗi tối thiểu do Đại hội thành viên ngân hàng hợp tác xã quyết định</w:t>
      </w:r>
      <w:r w:rsidR="000F6A59">
        <w:rPr>
          <w:b w:val="0"/>
          <w:color w:val="000000"/>
          <w:lang w:val="en-US"/>
        </w:rPr>
        <w:t>;</w:t>
      </w:r>
    </w:p>
    <w:p w:rsidR="009B6D1A" w:rsidRPr="004D24C9" w:rsidRDefault="009B6D1A" w:rsidP="004D24C9">
      <w:pPr>
        <w:shd w:val="clear" w:color="auto" w:fill="FFFFFF"/>
        <w:spacing w:before="60" w:after="60" w:line="340" w:lineRule="exact"/>
        <w:ind w:firstLine="720"/>
        <w:jc w:val="both"/>
        <w:rPr>
          <w:color w:val="000000"/>
          <w:sz w:val="28"/>
          <w:szCs w:val="28"/>
        </w:rPr>
      </w:pPr>
      <w:r w:rsidRPr="004D24C9">
        <w:rPr>
          <w:color w:val="000000"/>
          <w:sz w:val="28"/>
          <w:szCs w:val="28"/>
        </w:rPr>
        <w:t>b) Quỹ tín dụng nhân dân thành viên được ngân hàng hợp tác xã cho vay điều hòa vốn khi có nhu cầu hoặc khó khăn tạm thời về thanh khoản;</w:t>
      </w:r>
    </w:p>
    <w:p w:rsidR="009B6D1A" w:rsidRPr="000F6A59" w:rsidRDefault="0086057B" w:rsidP="004D24C9">
      <w:pPr>
        <w:spacing w:before="60" w:after="60" w:line="340" w:lineRule="exact"/>
        <w:ind w:firstLine="720"/>
        <w:jc w:val="both"/>
        <w:rPr>
          <w:snapToGrid w:val="0"/>
          <w:sz w:val="28"/>
          <w:szCs w:val="28"/>
          <w:lang w:val="en-US"/>
        </w:rPr>
      </w:pPr>
      <w:r>
        <w:rPr>
          <w:snapToGrid w:val="0"/>
          <w:sz w:val="28"/>
          <w:szCs w:val="28"/>
          <w:lang w:val="en-US"/>
        </w:rPr>
        <w:t>c</w:t>
      </w:r>
      <w:r w:rsidR="009B6D1A" w:rsidRPr="004D24C9">
        <w:rPr>
          <w:snapToGrid w:val="0"/>
          <w:sz w:val="28"/>
          <w:szCs w:val="28"/>
        </w:rPr>
        <w:t>) Cơ chế lãi suất tiền gửi và tiền vay điều hòa vốn (bao gồm cho vay khi quỹ tín dụng nhân dân thành viên có nhu cầu về vốn và cho vay hỗ trợ khó khăn tạm thời về thanh khoản) rõ ràng, minh bạch; phải đảm bảo tính tương trợ giữa các quỹ tín dụng nhân dân thành viên trong hệ thống, góp phần tăng cường tính liên kết, an toàn của hệ thố</w:t>
      </w:r>
      <w:r w:rsidR="000F6A59">
        <w:rPr>
          <w:snapToGrid w:val="0"/>
          <w:sz w:val="28"/>
          <w:szCs w:val="28"/>
        </w:rPr>
        <w:t>ng, không vì mục tiêu lợi nhuận</w:t>
      </w:r>
      <w:r w:rsidR="000F6A59">
        <w:rPr>
          <w:snapToGrid w:val="0"/>
          <w:sz w:val="28"/>
          <w:szCs w:val="28"/>
          <w:lang w:val="en-US"/>
        </w:rPr>
        <w:t>;</w:t>
      </w:r>
    </w:p>
    <w:p w:rsidR="009B6D1A" w:rsidRPr="004D24C9" w:rsidRDefault="0086057B" w:rsidP="004D24C9">
      <w:pPr>
        <w:spacing w:before="60" w:after="60" w:line="340" w:lineRule="exact"/>
        <w:ind w:firstLine="720"/>
        <w:jc w:val="both"/>
        <w:rPr>
          <w:snapToGrid w:val="0"/>
          <w:sz w:val="28"/>
          <w:szCs w:val="28"/>
          <w:lang w:val="pt-BR"/>
        </w:rPr>
      </w:pPr>
      <w:r>
        <w:rPr>
          <w:snapToGrid w:val="0"/>
          <w:sz w:val="28"/>
          <w:szCs w:val="28"/>
          <w:lang w:val="pt-BR"/>
        </w:rPr>
        <w:t>d</w:t>
      </w:r>
      <w:r w:rsidR="009B6D1A" w:rsidRPr="004D24C9">
        <w:rPr>
          <w:snapToGrid w:val="0"/>
          <w:sz w:val="28"/>
          <w:szCs w:val="28"/>
          <w:lang w:val="pt-BR"/>
        </w:rPr>
        <w:t xml:space="preserve">) Quy định về điều kiện, thủ tục, hồ sơ liên quan đến việc </w:t>
      </w:r>
      <w:r>
        <w:rPr>
          <w:snapToGrid w:val="0"/>
          <w:sz w:val="28"/>
          <w:szCs w:val="28"/>
          <w:lang w:val="pt-BR"/>
        </w:rPr>
        <w:t xml:space="preserve">cho vay </w:t>
      </w:r>
      <w:r w:rsidR="009B6D1A" w:rsidRPr="004D24C9">
        <w:rPr>
          <w:snapToGrid w:val="0"/>
          <w:sz w:val="28"/>
          <w:szCs w:val="28"/>
          <w:lang w:val="pt-BR"/>
        </w:rPr>
        <w:t xml:space="preserve">điều hòa vốn, trong đó có quy định cụ thể đối với việc cho vay điều hòa vốn để hỗ trợ các quỹ tín dụng nhân dân thành viên khó khăn tạm thời về thanh khoản”. </w:t>
      </w:r>
    </w:p>
    <w:p w:rsidR="00A01BB3" w:rsidRPr="00C92B0B" w:rsidRDefault="005043B5" w:rsidP="004D24C9">
      <w:pPr>
        <w:spacing w:before="60" w:after="60" w:line="340" w:lineRule="exact"/>
        <w:ind w:firstLine="567"/>
        <w:jc w:val="both"/>
        <w:rPr>
          <w:i/>
          <w:sz w:val="28"/>
          <w:szCs w:val="28"/>
          <w:lang w:val="en-US"/>
        </w:rPr>
      </w:pPr>
      <w:r w:rsidRPr="00C92B0B">
        <w:rPr>
          <w:i/>
          <w:sz w:val="28"/>
          <w:szCs w:val="28"/>
          <w:lang w:val="en-US"/>
        </w:rPr>
        <w:t>2</w:t>
      </w:r>
      <w:r w:rsidR="00A01BB3" w:rsidRPr="00C92B0B">
        <w:rPr>
          <w:i/>
          <w:sz w:val="28"/>
          <w:szCs w:val="28"/>
          <w:lang w:val="en-US"/>
        </w:rPr>
        <w:t>. Điều 44 được sửa đổi, bổ sung như sau:</w:t>
      </w:r>
    </w:p>
    <w:p w:rsidR="00A01BB3" w:rsidRPr="005A6945" w:rsidRDefault="00A01BB3" w:rsidP="004D24C9">
      <w:pPr>
        <w:pStyle w:val="Dieu"/>
        <w:spacing w:before="60" w:after="60" w:line="340" w:lineRule="exact"/>
        <w:ind w:firstLine="567"/>
        <w:jc w:val="both"/>
        <w:rPr>
          <w:b w:val="0"/>
          <w:lang w:val="en-US"/>
        </w:rPr>
      </w:pPr>
      <w:r w:rsidRPr="005A6945">
        <w:rPr>
          <w:b w:val="0"/>
          <w:lang w:val="en-US"/>
        </w:rPr>
        <w:t>“Điều 44. Quyền hạn</w:t>
      </w:r>
    </w:p>
    <w:p w:rsidR="00F106B3" w:rsidRPr="005A6945" w:rsidRDefault="00F106B3" w:rsidP="004D24C9">
      <w:pPr>
        <w:spacing w:before="60" w:after="60" w:line="340" w:lineRule="exact"/>
        <w:ind w:firstLine="567"/>
        <w:jc w:val="both"/>
        <w:rPr>
          <w:sz w:val="28"/>
          <w:szCs w:val="28"/>
        </w:rPr>
      </w:pPr>
      <w:r w:rsidRPr="005A6945">
        <w:rPr>
          <w:sz w:val="28"/>
          <w:szCs w:val="28"/>
        </w:rPr>
        <w:t xml:space="preserve">1. </w:t>
      </w:r>
      <w:r w:rsidRPr="005A6945">
        <w:rPr>
          <w:sz w:val="28"/>
          <w:szCs w:val="28"/>
          <w:lang w:val="sv-SE"/>
        </w:rPr>
        <w:t>Được t</w:t>
      </w:r>
      <w:r w:rsidRPr="005A6945">
        <w:rPr>
          <w:sz w:val="28"/>
          <w:szCs w:val="28"/>
        </w:rPr>
        <w:t>iếp cận hệ thống thông tin của Ngân hàng Nhà nước để thu thập thông tin liên quan đến hoạt động của quỹ tín dụng nhân dân.</w:t>
      </w:r>
    </w:p>
    <w:p w:rsidR="00F106B3" w:rsidRPr="005A6945" w:rsidRDefault="00F106B3" w:rsidP="004D24C9">
      <w:pPr>
        <w:spacing w:before="60" w:after="60" w:line="340" w:lineRule="exact"/>
        <w:ind w:firstLine="567"/>
        <w:jc w:val="both"/>
        <w:rPr>
          <w:sz w:val="28"/>
          <w:szCs w:val="28"/>
        </w:rPr>
      </w:pPr>
      <w:r w:rsidRPr="005A6945">
        <w:rPr>
          <w:sz w:val="28"/>
          <w:szCs w:val="28"/>
        </w:rPr>
        <w:t>2. Yêu cầu quỹ tín dụng nhân dân cung cấp báo cáo phục vụ cho mục đích điều hòa vốn và giám sát an toàn hệ thống.</w:t>
      </w:r>
    </w:p>
    <w:p w:rsidR="00A01BB3" w:rsidRPr="005A6945" w:rsidRDefault="00F106B3" w:rsidP="004D24C9">
      <w:pPr>
        <w:spacing w:before="60" w:after="60" w:line="340" w:lineRule="exact"/>
        <w:ind w:firstLine="567"/>
        <w:jc w:val="both"/>
        <w:rPr>
          <w:b/>
          <w:sz w:val="28"/>
          <w:szCs w:val="28"/>
          <w:lang w:val="en-US"/>
        </w:rPr>
      </w:pPr>
      <w:r w:rsidRPr="005A6945">
        <w:rPr>
          <w:sz w:val="28"/>
          <w:szCs w:val="28"/>
        </w:rPr>
        <w:t xml:space="preserve">3. Kiểm tra, giám sát </w:t>
      </w:r>
      <w:r w:rsidR="00FC4778">
        <w:rPr>
          <w:sz w:val="28"/>
          <w:szCs w:val="28"/>
          <w:lang w:val="en-US"/>
        </w:rPr>
        <w:t xml:space="preserve">đối với </w:t>
      </w:r>
      <w:r w:rsidR="00E35AFE">
        <w:rPr>
          <w:sz w:val="28"/>
          <w:szCs w:val="28"/>
          <w:lang w:val="en-US"/>
        </w:rPr>
        <w:t xml:space="preserve">các </w:t>
      </w:r>
      <w:r w:rsidR="00393388">
        <w:rPr>
          <w:sz w:val="28"/>
          <w:szCs w:val="28"/>
          <w:lang w:val="en-US"/>
        </w:rPr>
        <w:t xml:space="preserve">quỹ tín dụng nhân dân </w:t>
      </w:r>
      <w:r w:rsidR="00E35AFE">
        <w:rPr>
          <w:sz w:val="28"/>
          <w:szCs w:val="28"/>
          <w:lang w:val="en-US"/>
        </w:rPr>
        <w:t>có dư nợ</w:t>
      </w:r>
      <w:r w:rsidR="006E71A5">
        <w:rPr>
          <w:sz w:val="28"/>
          <w:szCs w:val="28"/>
          <w:lang w:val="en-US"/>
        </w:rPr>
        <w:t xml:space="preserve"> vay</w:t>
      </w:r>
      <w:r w:rsidR="00E35AFE">
        <w:rPr>
          <w:sz w:val="28"/>
          <w:szCs w:val="28"/>
          <w:lang w:val="en-US"/>
        </w:rPr>
        <w:t xml:space="preserve"> </w:t>
      </w:r>
      <w:r w:rsidR="00393388">
        <w:rPr>
          <w:sz w:val="28"/>
          <w:szCs w:val="28"/>
          <w:lang w:val="en-US"/>
        </w:rPr>
        <w:t>tại Ngân hàng hợp tác xã</w:t>
      </w:r>
      <w:r w:rsidRPr="00365C56">
        <w:rPr>
          <w:sz w:val="28"/>
          <w:szCs w:val="28"/>
          <w:lang w:val="en-US"/>
        </w:rPr>
        <w:t>.</w:t>
      </w:r>
    </w:p>
    <w:p w:rsidR="00F106B3" w:rsidRPr="00C92B0B" w:rsidRDefault="005043B5" w:rsidP="004D24C9">
      <w:pPr>
        <w:pStyle w:val="Dieu"/>
        <w:spacing w:before="60" w:after="60" w:line="340" w:lineRule="exact"/>
        <w:ind w:firstLine="567"/>
        <w:jc w:val="both"/>
        <w:rPr>
          <w:b w:val="0"/>
          <w:i/>
          <w:lang w:val="en-US"/>
        </w:rPr>
      </w:pPr>
      <w:r w:rsidRPr="00C92B0B">
        <w:rPr>
          <w:b w:val="0"/>
          <w:i/>
          <w:lang w:val="en-US"/>
        </w:rPr>
        <w:t>3</w:t>
      </w:r>
      <w:r w:rsidR="00F106B3" w:rsidRPr="00C92B0B">
        <w:rPr>
          <w:b w:val="0"/>
          <w:i/>
          <w:lang w:val="en-US"/>
        </w:rPr>
        <w:t>. Điều 45 được sửa đổi, bổ sung như sau:</w:t>
      </w:r>
    </w:p>
    <w:p w:rsidR="00F106B3" w:rsidRPr="005A6945" w:rsidRDefault="00F106B3" w:rsidP="004D24C9">
      <w:pPr>
        <w:pStyle w:val="NormalWeb"/>
        <w:spacing w:before="60" w:beforeAutospacing="0" w:after="60" w:afterAutospacing="0" w:line="340" w:lineRule="exact"/>
        <w:ind w:firstLine="567"/>
        <w:jc w:val="both"/>
        <w:rPr>
          <w:sz w:val="28"/>
          <w:szCs w:val="28"/>
        </w:rPr>
      </w:pPr>
      <w:r w:rsidRPr="005A6945">
        <w:rPr>
          <w:sz w:val="28"/>
          <w:szCs w:val="28"/>
        </w:rPr>
        <w:t>“Điều 45. Trách nhiệm</w:t>
      </w:r>
    </w:p>
    <w:p w:rsidR="00F106B3" w:rsidRPr="005A6945" w:rsidRDefault="00F106B3" w:rsidP="004D24C9">
      <w:pPr>
        <w:pStyle w:val="NormalWeb"/>
        <w:spacing w:before="60" w:beforeAutospacing="0" w:after="60" w:afterAutospacing="0" w:line="340" w:lineRule="exact"/>
        <w:ind w:firstLine="567"/>
        <w:jc w:val="both"/>
        <w:rPr>
          <w:snapToGrid w:val="0"/>
          <w:sz w:val="28"/>
          <w:szCs w:val="28"/>
          <w:lang w:val="vi-VN"/>
        </w:rPr>
      </w:pPr>
      <w:r w:rsidRPr="005A6945">
        <w:rPr>
          <w:sz w:val="28"/>
          <w:szCs w:val="28"/>
          <w:lang w:val="vi-VN"/>
        </w:rPr>
        <w:t xml:space="preserve">1. </w:t>
      </w:r>
      <w:r w:rsidRPr="005A6945">
        <w:rPr>
          <w:snapToGrid w:val="0"/>
          <w:sz w:val="28"/>
          <w:szCs w:val="28"/>
          <w:lang w:val="vi-VN"/>
        </w:rPr>
        <w:t>Hướng dẫn, đào tạo nghiệp vụ ngân hàng, công nghệ thông tin đối với quỹ tín dụng nhân dân thành viên.</w:t>
      </w:r>
    </w:p>
    <w:p w:rsidR="00F106B3" w:rsidRPr="005A6945" w:rsidRDefault="00F106B3" w:rsidP="004D24C9">
      <w:pPr>
        <w:spacing w:before="60" w:after="60" w:line="340" w:lineRule="exact"/>
        <w:ind w:firstLine="567"/>
        <w:jc w:val="both"/>
        <w:rPr>
          <w:sz w:val="28"/>
          <w:szCs w:val="28"/>
        </w:rPr>
      </w:pPr>
      <w:r w:rsidRPr="005A6945">
        <w:rPr>
          <w:sz w:val="28"/>
          <w:szCs w:val="28"/>
        </w:rPr>
        <w:t>2. Hỗ trợ các hoạt động ngân hàng cho quỹ tín dụng nhân dân thành viên theo quy định của pháp luật.</w:t>
      </w:r>
    </w:p>
    <w:p w:rsidR="00F106B3" w:rsidRPr="005A6945" w:rsidRDefault="00F106B3" w:rsidP="004D24C9">
      <w:pPr>
        <w:spacing w:before="60" w:after="60" w:line="340" w:lineRule="exact"/>
        <w:ind w:firstLine="567"/>
        <w:jc w:val="both"/>
        <w:rPr>
          <w:sz w:val="28"/>
          <w:szCs w:val="28"/>
        </w:rPr>
      </w:pPr>
      <w:r w:rsidRPr="005A6945">
        <w:rPr>
          <w:sz w:val="28"/>
          <w:szCs w:val="28"/>
        </w:rPr>
        <w:t xml:space="preserve">3. Tham gia xử lý đối với quỹ tín dụng nhân dân thành viên gặp khó khăn hoặc có dấu hiệu mất an toàn trong hoạt động. </w:t>
      </w:r>
    </w:p>
    <w:p w:rsidR="00F106B3" w:rsidRPr="005A6945" w:rsidRDefault="00F106B3" w:rsidP="004D24C9">
      <w:pPr>
        <w:spacing w:before="60" w:after="60" w:line="340" w:lineRule="exact"/>
        <w:ind w:firstLine="567"/>
        <w:jc w:val="both"/>
        <w:rPr>
          <w:sz w:val="28"/>
          <w:szCs w:val="28"/>
        </w:rPr>
      </w:pPr>
      <w:r w:rsidRPr="005A6945">
        <w:rPr>
          <w:sz w:val="28"/>
          <w:szCs w:val="28"/>
        </w:rPr>
        <w:t>4. Quản lý tiền gửi điều hòa vốn của hệ thống quỹ tín dụng nhân dân.</w:t>
      </w:r>
    </w:p>
    <w:p w:rsidR="00F53AA3" w:rsidRPr="008812CE" w:rsidRDefault="00F53AA3" w:rsidP="004D24C9">
      <w:pPr>
        <w:tabs>
          <w:tab w:val="left" w:pos="-5387"/>
        </w:tabs>
        <w:spacing w:before="60" w:after="60" w:line="340" w:lineRule="exact"/>
        <w:ind w:firstLine="567"/>
        <w:jc w:val="both"/>
        <w:rPr>
          <w:sz w:val="28"/>
          <w:szCs w:val="28"/>
        </w:rPr>
      </w:pPr>
      <w:r w:rsidRPr="008812CE">
        <w:rPr>
          <w:sz w:val="28"/>
          <w:szCs w:val="28"/>
        </w:rPr>
        <w:t xml:space="preserve">5. </w:t>
      </w:r>
      <w:r w:rsidR="0086057B">
        <w:rPr>
          <w:sz w:val="28"/>
          <w:szCs w:val="28"/>
          <w:lang w:val="sv-SE"/>
        </w:rPr>
        <w:t xml:space="preserve">Hỗ </w:t>
      </w:r>
      <w:r w:rsidR="008812CE" w:rsidRPr="008812CE">
        <w:rPr>
          <w:color w:val="000000"/>
          <w:sz w:val="28"/>
          <w:szCs w:val="28"/>
        </w:rPr>
        <w:t xml:space="preserve">trợ các </w:t>
      </w:r>
      <w:r w:rsidR="008812CE" w:rsidRPr="008812CE">
        <w:rPr>
          <w:sz w:val="28"/>
          <w:szCs w:val="28"/>
          <w:lang w:val="sv-SE"/>
        </w:rPr>
        <w:t xml:space="preserve">quỹ tín dụng nhân dân </w:t>
      </w:r>
      <w:r w:rsidR="008812CE" w:rsidRPr="008812CE">
        <w:rPr>
          <w:color w:val="000000"/>
          <w:sz w:val="28"/>
          <w:szCs w:val="28"/>
        </w:rPr>
        <w:t>trong việc thực hiện kiểm toán nội bộ</w:t>
      </w:r>
      <w:r w:rsidR="00830406">
        <w:rPr>
          <w:color w:val="000000"/>
          <w:sz w:val="28"/>
          <w:szCs w:val="28"/>
          <w:lang w:val="en-US"/>
        </w:rPr>
        <w:t xml:space="preserve"> khi các quỹ tín dụng nhân dân yêu cầu</w:t>
      </w:r>
      <w:r w:rsidRPr="008812CE">
        <w:rPr>
          <w:sz w:val="28"/>
          <w:szCs w:val="28"/>
        </w:rPr>
        <w:t>.</w:t>
      </w:r>
    </w:p>
    <w:p w:rsidR="00452BC5" w:rsidRDefault="006E4406" w:rsidP="004D24C9">
      <w:pPr>
        <w:tabs>
          <w:tab w:val="left" w:pos="-5387"/>
        </w:tabs>
        <w:spacing w:before="60" w:after="60" w:line="340" w:lineRule="exact"/>
        <w:ind w:firstLine="567"/>
        <w:jc w:val="both"/>
        <w:rPr>
          <w:sz w:val="28"/>
          <w:szCs w:val="28"/>
          <w:lang w:val="en-US"/>
        </w:rPr>
      </w:pPr>
      <w:r w:rsidRPr="006E4406">
        <w:rPr>
          <w:sz w:val="28"/>
          <w:szCs w:val="28"/>
        </w:rPr>
        <w:t>6. Có ý kiến tham gia bằng văn bản đối với danh sách nhân sự dự kiến bầu, bổ nhiệm làm Chủ tịch và các thành viên khác của Hội đồng quản trị, Trưởng ban và các thành viên khác của Ban kiểm soát, Giám đốc QTDND thành viên khi được Ngân hàng Nhà nước chi nhánh tỉnh, thành phố trực thuộc Trung ương yêu cầu</w:t>
      </w:r>
      <w:r w:rsidR="00452BC5">
        <w:rPr>
          <w:sz w:val="28"/>
          <w:szCs w:val="28"/>
          <w:lang w:val="en-US"/>
        </w:rPr>
        <w:t>.</w:t>
      </w:r>
      <w:r w:rsidR="00452BC5" w:rsidRPr="00452BC5">
        <w:rPr>
          <w:sz w:val="28"/>
          <w:szCs w:val="28"/>
        </w:rPr>
        <w:t xml:space="preserve"> </w:t>
      </w:r>
    </w:p>
    <w:p w:rsidR="00E56DCA" w:rsidRPr="00452BC5" w:rsidRDefault="00452BC5" w:rsidP="004D24C9">
      <w:pPr>
        <w:tabs>
          <w:tab w:val="left" w:pos="-5387"/>
        </w:tabs>
        <w:spacing w:before="60" w:after="60" w:line="340" w:lineRule="exact"/>
        <w:ind w:firstLine="567"/>
        <w:jc w:val="both"/>
        <w:rPr>
          <w:sz w:val="28"/>
          <w:szCs w:val="28"/>
        </w:rPr>
      </w:pPr>
      <w:r>
        <w:rPr>
          <w:sz w:val="28"/>
          <w:szCs w:val="28"/>
          <w:lang w:val="en-US"/>
        </w:rPr>
        <w:tab/>
      </w:r>
      <w:r w:rsidR="00CB3756" w:rsidRPr="00452BC5">
        <w:rPr>
          <w:sz w:val="28"/>
          <w:szCs w:val="28"/>
        </w:rPr>
        <w:t>7</w:t>
      </w:r>
      <w:r w:rsidR="00F106B3" w:rsidRPr="005A6945">
        <w:rPr>
          <w:sz w:val="28"/>
          <w:szCs w:val="28"/>
        </w:rPr>
        <w:t>. Thực hiện trách nhiệm khác theo quy định của Điều lệ và pháp luật</w:t>
      </w:r>
      <w:r w:rsidR="00CB3756" w:rsidRPr="00452BC5">
        <w:rPr>
          <w:sz w:val="28"/>
          <w:szCs w:val="28"/>
        </w:rPr>
        <w:t>”</w:t>
      </w:r>
      <w:r w:rsidR="00F106B3" w:rsidRPr="005A6945">
        <w:rPr>
          <w:sz w:val="28"/>
          <w:szCs w:val="28"/>
        </w:rPr>
        <w:t>.</w:t>
      </w:r>
    </w:p>
    <w:p w:rsidR="009440B3" w:rsidRPr="005A6945" w:rsidRDefault="009440B3" w:rsidP="004D24C9">
      <w:pPr>
        <w:spacing w:before="60" w:after="60" w:line="340" w:lineRule="exact"/>
        <w:ind w:firstLine="567"/>
        <w:jc w:val="both"/>
        <w:rPr>
          <w:b/>
          <w:sz w:val="28"/>
          <w:szCs w:val="28"/>
        </w:rPr>
      </w:pPr>
      <w:r w:rsidRPr="005A6945">
        <w:rPr>
          <w:b/>
          <w:sz w:val="28"/>
          <w:szCs w:val="28"/>
        </w:rPr>
        <w:lastRenderedPageBreak/>
        <w:t>Điều 2. Hiệu lực thi hành</w:t>
      </w:r>
    </w:p>
    <w:p w:rsidR="009440B3" w:rsidRPr="005A6945" w:rsidRDefault="009440B3" w:rsidP="004D24C9">
      <w:pPr>
        <w:spacing w:before="60" w:after="60" w:line="340" w:lineRule="exact"/>
        <w:ind w:firstLine="567"/>
        <w:rPr>
          <w:sz w:val="28"/>
          <w:szCs w:val="28"/>
        </w:rPr>
      </w:pPr>
      <w:r w:rsidRPr="005A6945">
        <w:rPr>
          <w:sz w:val="28"/>
          <w:szCs w:val="28"/>
        </w:rPr>
        <w:t>1. Thông tư này có hiệu lực thi hành kể từ ngày …../…../201</w:t>
      </w:r>
      <w:r w:rsidR="00CA6D97" w:rsidRPr="005A6945">
        <w:rPr>
          <w:sz w:val="28"/>
          <w:szCs w:val="28"/>
          <w:lang w:val="en-US"/>
        </w:rPr>
        <w:t>5</w:t>
      </w:r>
      <w:r w:rsidRPr="005A6945">
        <w:rPr>
          <w:sz w:val="28"/>
          <w:szCs w:val="28"/>
        </w:rPr>
        <w:t>.</w:t>
      </w:r>
    </w:p>
    <w:p w:rsidR="00EF5649" w:rsidRPr="005A6945" w:rsidRDefault="009440B3" w:rsidP="004D24C9">
      <w:pPr>
        <w:spacing w:before="60" w:after="60" w:line="340" w:lineRule="exact"/>
        <w:ind w:firstLine="567"/>
        <w:jc w:val="both"/>
        <w:rPr>
          <w:sz w:val="28"/>
          <w:szCs w:val="28"/>
        </w:rPr>
      </w:pPr>
      <w:r w:rsidRPr="005A6945">
        <w:rPr>
          <w:sz w:val="28"/>
          <w:szCs w:val="28"/>
        </w:rPr>
        <w:t xml:space="preserve">2. </w:t>
      </w:r>
      <w:r w:rsidR="00EF5649" w:rsidRPr="005A6945">
        <w:rPr>
          <w:sz w:val="28"/>
          <w:szCs w:val="28"/>
        </w:rPr>
        <w:t xml:space="preserve">Chánh Văn phòng, Chánh Thanh tra, giám sát ngân hàng, Thủ trưởng các đơn vị thuộc Ngân hàng Nhà nước, Giám đốc Ngân hàng Nhà nước chi nhánh các tỉnh, thành phố trực thuộc Trung ương, Chủ tịch Hội đồng quản trị, Tổng giám đốc ngân hàng hợp tác xã chịu trách nhiệm </w:t>
      </w:r>
      <w:r w:rsidR="00452BC5">
        <w:rPr>
          <w:sz w:val="28"/>
          <w:szCs w:val="28"/>
          <w:lang w:val="en-US"/>
        </w:rPr>
        <w:t>thi hành</w:t>
      </w:r>
      <w:r w:rsidR="00EF5649" w:rsidRPr="005A6945">
        <w:rPr>
          <w:sz w:val="28"/>
          <w:szCs w:val="28"/>
        </w:rPr>
        <w:t xml:space="preserve"> Thông tư</w:t>
      </w:r>
      <w:r w:rsidR="00EF5649" w:rsidRPr="005A6945">
        <w:rPr>
          <w:sz w:val="28"/>
          <w:szCs w:val="28"/>
          <w:lang w:val="en-US"/>
        </w:rPr>
        <w:t xml:space="preserve"> này</w:t>
      </w:r>
      <w:r w:rsidR="00EF5649" w:rsidRPr="005A6945">
        <w:rPr>
          <w:sz w:val="28"/>
          <w:szCs w:val="28"/>
        </w:rPr>
        <w:t xml:space="preserve">. </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8"/>
        <w:gridCol w:w="6268"/>
      </w:tblGrid>
      <w:tr w:rsidR="009440B3" w:rsidTr="009471F6">
        <w:trPr>
          <w:trHeight w:val="2126"/>
        </w:trPr>
        <w:tc>
          <w:tcPr>
            <w:tcW w:w="3398" w:type="dxa"/>
            <w:tcBorders>
              <w:top w:val="nil"/>
              <w:left w:val="nil"/>
              <w:bottom w:val="nil"/>
              <w:right w:val="nil"/>
            </w:tcBorders>
          </w:tcPr>
          <w:p w:rsidR="009440B3" w:rsidRPr="0035282A" w:rsidRDefault="009440B3" w:rsidP="009471F6">
            <w:pPr>
              <w:spacing w:before="120"/>
              <w:jc w:val="both"/>
              <w:rPr>
                <w:b/>
                <w:i/>
              </w:rPr>
            </w:pPr>
            <w:r w:rsidRPr="0035282A">
              <w:rPr>
                <w:b/>
                <w:i/>
              </w:rPr>
              <w:t>Nơi nhận:</w:t>
            </w:r>
          </w:p>
          <w:p w:rsidR="009440B3" w:rsidRPr="0035282A" w:rsidRDefault="00452BC5" w:rsidP="00452BC5">
            <w:pPr>
              <w:spacing w:line="240" w:lineRule="exact"/>
              <w:jc w:val="both"/>
            </w:pPr>
            <w:r>
              <w:rPr>
                <w:sz w:val="22"/>
                <w:szCs w:val="22"/>
                <w:lang w:val="en-US"/>
              </w:rPr>
              <w:t xml:space="preserve">- </w:t>
            </w:r>
            <w:r w:rsidR="009440B3" w:rsidRPr="0035282A">
              <w:rPr>
                <w:sz w:val="22"/>
                <w:szCs w:val="22"/>
                <w:lang w:val="en-US"/>
              </w:rPr>
              <w:t>Như Khoản 2 Điều 2;</w:t>
            </w:r>
          </w:p>
          <w:p w:rsidR="009440B3" w:rsidRPr="0035282A" w:rsidRDefault="00452BC5" w:rsidP="00452BC5">
            <w:pPr>
              <w:spacing w:line="240" w:lineRule="exact"/>
              <w:jc w:val="both"/>
            </w:pPr>
            <w:r>
              <w:rPr>
                <w:sz w:val="22"/>
                <w:szCs w:val="22"/>
                <w:lang w:val="en-US"/>
              </w:rPr>
              <w:t xml:space="preserve">- </w:t>
            </w:r>
            <w:r w:rsidR="009440B3" w:rsidRPr="0035282A">
              <w:rPr>
                <w:sz w:val="22"/>
                <w:szCs w:val="22"/>
              </w:rPr>
              <w:t>Ban lãnh đạo NHNN;</w:t>
            </w:r>
          </w:p>
          <w:p w:rsidR="009440B3" w:rsidRPr="0035282A" w:rsidRDefault="00452BC5" w:rsidP="00452BC5">
            <w:pPr>
              <w:spacing w:line="240" w:lineRule="exact"/>
              <w:jc w:val="both"/>
            </w:pPr>
            <w:r>
              <w:rPr>
                <w:sz w:val="22"/>
                <w:szCs w:val="22"/>
                <w:lang w:val="en-US"/>
              </w:rPr>
              <w:t xml:space="preserve">- </w:t>
            </w:r>
            <w:r w:rsidR="009440B3" w:rsidRPr="0035282A">
              <w:rPr>
                <w:sz w:val="22"/>
                <w:szCs w:val="22"/>
              </w:rPr>
              <w:t>Văn phòng Chính phủ ;</w:t>
            </w:r>
          </w:p>
          <w:p w:rsidR="009440B3" w:rsidRPr="0035282A" w:rsidRDefault="00452BC5" w:rsidP="00452BC5">
            <w:pPr>
              <w:spacing w:line="240" w:lineRule="exact"/>
              <w:jc w:val="both"/>
            </w:pPr>
            <w:r>
              <w:rPr>
                <w:sz w:val="22"/>
                <w:szCs w:val="22"/>
                <w:lang w:val="en-US"/>
              </w:rPr>
              <w:t xml:space="preserve">- </w:t>
            </w:r>
            <w:r w:rsidR="009440B3" w:rsidRPr="0035282A">
              <w:rPr>
                <w:sz w:val="22"/>
                <w:szCs w:val="22"/>
              </w:rPr>
              <w:t xml:space="preserve">Bộ Tư Pháp (để kiểm tra); </w:t>
            </w:r>
          </w:p>
          <w:p w:rsidR="009440B3" w:rsidRPr="0035282A" w:rsidRDefault="00452BC5" w:rsidP="00452BC5">
            <w:pPr>
              <w:spacing w:line="240" w:lineRule="exact"/>
              <w:jc w:val="both"/>
            </w:pPr>
            <w:r>
              <w:rPr>
                <w:sz w:val="22"/>
                <w:szCs w:val="22"/>
                <w:lang w:val="en-US"/>
              </w:rPr>
              <w:t xml:space="preserve">- </w:t>
            </w:r>
            <w:r w:rsidR="009440B3" w:rsidRPr="0035282A">
              <w:rPr>
                <w:sz w:val="22"/>
                <w:szCs w:val="22"/>
                <w:lang w:val="en-US"/>
              </w:rPr>
              <w:t>Công báo;</w:t>
            </w:r>
          </w:p>
          <w:p w:rsidR="009440B3" w:rsidRPr="0035282A" w:rsidRDefault="00452BC5" w:rsidP="00452BC5">
            <w:pPr>
              <w:spacing w:line="240" w:lineRule="exact"/>
              <w:jc w:val="both"/>
            </w:pPr>
            <w:r>
              <w:rPr>
                <w:sz w:val="22"/>
                <w:szCs w:val="22"/>
                <w:lang w:val="en-US"/>
              </w:rPr>
              <w:t xml:space="preserve">- </w:t>
            </w:r>
            <w:r w:rsidR="009440B3" w:rsidRPr="0035282A">
              <w:rPr>
                <w:sz w:val="22"/>
                <w:szCs w:val="22"/>
              </w:rPr>
              <w:t xml:space="preserve">Lưu </w:t>
            </w:r>
            <w:r w:rsidR="00011CB2" w:rsidRPr="00011CB2">
              <w:rPr>
                <w:sz w:val="22"/>
                <w:szCs w:val="22"/>
              </w:rPr>
              <w:t>Vụ Pháp chế, Văn phòng, Cơ quan TTGSNH (06 bản).</w:t>
            </w:r>
          </w:p>
        </w:tc>
        <w:tc>
          <w:tcPr>
            <w:tcW w:w="6268" w:type="dxa"/>
            <w:tcBorders>
              <w:top w:val="nil"/>
              <w:left w:val="nil"/>
              <w:bottom w:val="nil"/>
              <w:right w:val="nil"/>
            </w:tcBorders>
          </w:tcPr>
          <w:p w:rsidR="009440B3" w:rsidRPr="000B70BF" w:rsidRDefault="009440B3" w:rsidP="009471F6">
            <w:pPr>
              <w:spacing w:before="120"/>
              <w:jc w:val="center"/>
              <w:rPr>
                <w:b/>
                <w:sz w:val="28"/>
                <w:szCs w:val="28"/>
                <w:lang w:val="en-US"/>
              </w:rPr>
            </w:pPr>
            <w:r w:rsidRPr="0035282A">
              <w:rPr>
                <w:b/>
                <w:sz w:val="28"/>
                <w:szCs w:val="28"/>
              </w:rPr>
              <w:t>THỐNG ĐỐC</w:t>
            </w:r>
          </w:p>
          <w:p w:rsidR="009440B3" w:rsidRDefault="009440B3" w:rsidP="009471F6">
            <w:pPr>
              <w:spacing w:before="120"/>
              <w:jc w:val="both"/>
              <w:rPr>
                <w:b/>
                <w:lang w:val="en-US"/>
              </w:rPr>
            </w:pPr>
          </w:p>
          <w:p w:rsidR="009440B3" w:rsidRDefault="009440B3" w:rsidP="009471F6">
            <w:pPr>
              <w:spacing w:before="120"/>
              <w:ind w:right="612"/>
              <w:jc w:val="both"/>
              <w:rPr>
                <w:b/>
                <w:lang w:val="en-US"/>
              </w:rPr>
            </w:pPr>
          </w:p>
          <w:p w:rsidR="009440B3" w:rsidRDefault="009440B3" w:rsidP="009471F6">
            <w:pPr>
              <w:spacing w:before="120"/>
              <w:jc w:val="both"/>
              <w:rPr>
                <w:b/>
                <w:lang w:val="en-US"/>
              </w:rPr>
            </w:pPr>
          </w:p>
          <w:p w:rsidR="009440B3" w:rsidRPr="002E234A" w:rsidRDefault="009440B3" w:rsidP="009471F6">
            <w:pPr>
              <w:spacing w:before="120"/>
              <w:jc w:val="both"/>
              <w:rPr>
                <w:b/>
                <w:lang w:val="en-US"/>
              </w:rPr>
            </w:pPr>
          </w:p>
        </w:tc>
      </w:tr>
    </w:tbl>
    <w:p w:rsidR="00B2047E" w:rsidRDefault="00B2047E"/>
    <w:sectPr w:rsidR="00B2047E" w:rsidSect="00452BC5">
      <w:footerReference w:type="default" r:id="rId7"/>
      <w:pgSz w:w="11906" w:h="16838" w:code="9"/>
      <w:pgMar w:top="1134" w:right="1134"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A5F" w:rsidRDefault="00B20A5F" w:rsidP="00452BC5">
      <w:r>
        <w:separator/>
      </w:r>
    </w:p>
  </w:endnote>
  <w:endnote w:type="continuationSeparator" w:id="0">
    <w:p w:rsidR="00B20A5F" w:rsidRDefault="00B20A5F" w:rsidP="00452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0809"/>
      <w:docPartObj>
        <w:docPartGallery w:val="Page Numbers (Bottom of Page)"/>
        <w:docPartUnique/>
      </w:docPartObj>
    </w:sdtPr>
    <w:sdtContent>
      <w:p w:rsidR="00452BC5" w:rsidRDefault="00243600">
        <w:pPr>
          <w:pStyle w:val="Footer"/>
          <w:jc w:val="right"/>
        </w:pPr>
        <w:r>
          <w:fldChar w:fldCharType="begin"/>
        </w:r>
        <w:r w:rsidR="00497D7D">
          <w:instrText xml:space="preserve"> PAGE   \* MERGEFORMAT </w:instrText>
        </w:r>
        <w:r>
          <w:fldChar w:fldCharType="separate"/>
        </w:r>
        <w:r w:rsidR="000F7EB4">
          <w:rPr>
            <w:noProof/>
          </w:rPr>
          <w:t>2</w:t>
        </w:r>
        <w:r>
          <w:rPr>
            <w:noProof/>
          </w:rPr>
          <w:fldChar w:fldCharType="end"/>
        </w:r>
      </w:p>
    </w:sdtContent>
  </w:sdt>
  <w:p w:rsidR="00452BC5" w:rsidRDefault="00452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A5F" w:rsidRDefault="00B20A5F" w:rsidP="00452BC5">
      <w:r>
        <w:separator/>
      </w:r>
    </w:p>
  </w:footnote>
  <w:footnote w:type="continuationSeparator" w:id="0">
    <w:p w:rsidR="00B20A5F" w:rsidRDefault="00B20A5F" w:rsidP="00452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84AD1"/>
    <w:multiLevelType w:val="hybridMultilevel"/>
    <w:tmpl w:val="EE245B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8EB2643"/>
    <w:multiLevelType w:val="hybridMultilevel"/>
    <w:tmpl w:val="A64C6222"/>
    <w:lvl w:ilvl="0" w:tplc="12BE5148">
      <w:start w:val="1"/>
      <w:numFmt w:val="decimal"/>
      <w:pStyle w:val="StyleHeading2TimesNewRomanNotBoldNotItalic"/>
      <w:lvlText w:val="Điều %1."/>
      <w:lvlJc w:val="left"/>
      <w:pPr>
        <w:tabs>
          <w:tab w:val="num" w:pos="720"/>
        </w:tabs>
        <w:ind w:left="720" w:hanging="360"/>
      </w:pPr>
      <w:rPr>
        <w:rFonts w:hint="default"/>
      </w:rPr>
    </w:lvl>
    <w:lvl w:ilvl="1" w:tplc="5986D722">
      <w:start w:val="1"/>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4E8462B3"/>
    <w:multiLevelType w:val="hybridMultilevel"/>
    <w:tmpl w:val="7E4A683C"/>
    <w:lvl w:ilvl="0" w:tplc="73144252">
      <w:numFmt w:val="bullet"/>
      <w:lvlText w:val="-"/>
      <w:lvlJc w:val="left"/>
      <w:pPr>
        <w:tabs>
          <w:tab w:val="num" w:pos="720"/>
        </w:tabs>
        <w:ind w:left="720" w:hanging="540"/>
      </w:pPr>
      <w:rPr>
        <w:rFonts w:ascii="Tahoma" w:eastAsia="Tahoma" w:hAnsi="Tahoma" w:cs="Tahoma"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440B3"/>
    <w:rsid w:val="00011CB2"/>
    <w:rsid w:val="000168F8"/>
    <w:rsid w:val="00027896"/>
    <w:rsid w:val="000639AB"/>
    <w:rsid w:val="0007562B"/>
    <w:rsid w:val="0008748C"/>
    <w:rsid w:val="0009412D"/>
    <w:rsid w:val="000A77F7"/>
    <w:rsid w:val="000A7AAE"/>
    <w:rsid w:val="000D13FA"/>
    <w:rsid w:val="000E58A5"/>
    <w:rsid w:val="000F6A59"/>
    <w:rsid w:val="000F7EB4"/>
    <w:rsid w:val="001078D9"/>
    <w:rsid w:val="00117EA0"/>
    <w:rsid w:val="001205F9"/>
    <w:rsid w:val="00180C37"/>
    <w:rsid w:val="001C4EF2"/>
    <w:rsid w:val="001C5DD1"/>
    <w:rsid w:val="001D7D2F"/>
    <w:rsid w:val="001E3EE3"/>
    <w:rsid w:val="00212526"/>
    <w:rsid w:val="00217053"/>
    <w:rsid w:val="00243600"/>
    <w:rsid w:val="00271CEB"/>
    <w:rsid w:val="00292A1C"/>
    <w:rsid w:val="002A12EC"/>
    <w:rsid w:val="002E334A"/>
    <w:rsid w:val="00323388"/>
    <w:rsid w:val="00335DF6"/>
    <w:rsid w:val="00365C56"/>
    <w:rsid w:val="00391D00"/>
    <w:rsid w:val="00392D18"/>
    <w:rsid w:val="00393388"/>
    <w:rsid w:val="003B5C69"/>
    <w:rsid w:val="003E2FFF"/>
    <w:rsid w:val="003F121E"/>
    <w:rsid w:val="00423F77"/>
    <w:rsid w:val="00452BC5"/>
    <w:rsid w:val="00465807"/>
    <w:rsid w:val="00466412"/>
    <w:rsid w:val="0047098F"/>
    <w:rsid w:val="0049359A"/>
    <w:rsid w:val="00497D7D"/>
    <w:rsid w:val="004D24C9"/>
    <w:rsid w:val="004E192A"/>
    <w:rsid w:val="004F2744"/>
    <w:rsid w:val="00500031"/>
    <w:rsid w:val="005043B5"/>
    <w:rsid w:val="005177D5"/>
    <w:rsid w:val="00527977"/>
    <w:rsid w:val="00546A98"/>
    <w:rsid w:val="00567EBC"/>
    <w:rsid w:val="00583359"/>
    <w:rsid w:val="00594A37"/>
    <w:rsid w:val="005A2968"/>
    <w:rsid w:val="005A6945"/>
    <w:rsid w:val="005B79A2"/>
    <w:rsid w:val="005E1F13"/>
    <w:rsid w:val="005E6CAA"/>
    <w:rsid w:val="006006F8"/>
    <w:rsid w:val="006015B6"/>
    <w:rsid w:val="00636624"/>
    <w:rsid w:val="00664B61"/>
    <w:rsid w:val="00683A97"/>
    <w:rsid w:val="006847F7"/>
    <w:rsid w:val="00697840"/>
    <w:rsid w:val="006E4406"/>
    <w:rsid w:val="006E71A5"/>
    <w:rsid w:val="006F6D67"/>
    <w:rsid w:val="007175E1"/>
    <w:rsid w:val="00721B20"/>
    <w:rsid w:val="00737D4D"/>
    <w:rsid w:val="00741FA4"/>
    <w:rsid w:val="00764099"/>
    <w:rsid w:val="007A0FE8"/>
    <w:rsid w:val="007B3576"/>
    <w:rsid w:val="007D2497"/>
    <w:rsid w:val="007F6C8F"/>
    <w:rsid w:val="00822885"/>
    <w:rsid w:val="00824558"/>
    <w:rsid w:val="00824884"/>
    <w:rsid w:val="00830406"/>
    <w:rsid w:val="0085468D"/>
    <w:rsid w:val="0086057B"/>
    <w:rsid w:val="008812CE"/>
    <w:rsid w:val="00887B55"/>
    <w:rsid w:val="00887F6D"/>
    <w:rsid w:val="008A78A6"/>
    <w:rsid w:val="008B1A68"/>
    <w:rsid w:val="008B6C49"/>
    <w:rsid w:val="008D78A7"/>
    <w:rsid w:val="00913340"/>
    <w:rsid w:val="0093085E"/>
    <w:rsid w:val="009440B3"/>
    <w:rsid w:val="00994F2F"/>
    <w:rsid w:val="009B6D1A"/>
    <w:rsid w:val="009F0EC4"/>
    <w:rsid w:val="00A01BB3"/>
    <w:rsid w:val="00A04492"/>
    <w:rsid w:val="00A34FEB"/>
    <w:rsid w:val="00A50747"/>
    <w:rsid w:val="00A8372A"/>
    <w:rsid w:val="00B04072"/>
    <w:rsid w:val="00B1022F"/>
    <w:rsid w:val="00B2047E"/>
    <w:rsid w:val="00B20A5F"/>
    <w:rsid w:val="00B30DF2"/>
    <w:rsid w:val="00B34D25"/>
    <w:rsid w:val="00B71D70"/>
    <w:rsid w:val="00BA4A9B"/>
    <w:rsid w:val="00BD76C8"/>
    <w:rsid w:val="00C06A47"/>
    <w:rsid w:val="00C122E3"/>
    <w:rsid w:val="00C679E0"/>
    <w:rsid w:val="00C77DD1"/>
    <w:rsid w:val="00C92157"/>
    <w:rsid w:val="00C92B0B"/>
    <w:rsid w:val="00CA6D97"/>
    <w:rsid w:val="00CB3756"/>
    <w:rsid w:val="00CC2E78"/>
    <w:rsid w:val="00CC799E"/>
    <w:rsid w:val="00CD395F"/>
    <w:rsid w:val="00CD7978"/>
    <w:rsid w:val="00CE08FB"/>
    <w:rsid w:val="00CE1974"/>
    <w:rsid w:val="00CF53F6"/>
    <w:rsid w:val="00D140EA"/>
    <w:rsid w:val="00D93DFF"/>
    <w:rsid w:val="00D95435"/>
    <w:rsid w:val="00DB0339"/>
    <w:rsid w:val="00DC4BD8"/>
    <w:rsid w:val="00E13B82"/>
    <w:rsid w:val="00E1504D"/>
    <w:rsid w:val="00E35AFE"/>
    <w:rsid w:val="00E41FA0"/>
    <w:rsid w:val="00E505EE"/>
    <w:rsid w:val="00E56DCA"/>
    <w:rsid w:val="00E71329"/>
    <w:rsid w:val="00E81757"/>
    <w:rsid w:val="00EB0DA9"/>
    <w:rsid w:val="00EE206D"/>
    <w:rsid w:val="00EF1841"/>
    <w:rsid w:val="00EF5649"/>
    <w:rsid w:val="00F106B3"/>
    <w:rsid w:val="00F17AF2"/>
    <w:rsid w:val="00F40732"/>
    <w:rsid w:val="00F410C9"/>
    <w:rsid w:val="00F53AA3"/>
    <w:rsid w:val="00F56FB4"/>
    <w:rsid w:val="00F762E3"/>
    <w:rsid w:val="00F81094"/>
    <w:rsid w:val="00FB0517"/>
    <w:rsid w:val="00FB1C3E"/>
    <w:rsid w:val="00FB2EC8"/>
    <w:rsid w:val="00FC1300"/>
    <w:rsid w:val="00FC4778"/>
    <w:rsid w:val="00FE45D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B3"/>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9440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NotBoldNotItalic">
    <w:name w:val="Style Heading 2 + Times New Roman Not Bold Not Italic"/>
    <w:basedOn w:val="Heading2"/>
    <w:link w:val="StyleHeading2TimesNewRomanNotBoldNotItalicChar"/>
    <w:rsid w:val="009440B3"/>
    <w:pPr>
      <w:keepLines w:val="0"/>
      <w:numPr>
        <w:numId w:val="2"/>
      </w:numPr>
      <w:spacing w:before="240" w:after="60"/>
    </w:pPr>
    <w:rPr>
      <w:rFonts w:ascii="Times New Roman" w:eastAsia="Times New Roman" w:hAnsi="Times New Roman" w:cs="Arial"/>
      <w:b w:val="0"/>
      <w:bCs w:val="0"/>
      <w:color w:val="auto"/>
      <w:sz w:val="28"/>
      <w:szCs w:val="28"/>
    </w:rPr>
  </w:style>
  <w:style w:type="character" w:customStyle="1" w:styleId="StyleHeading2TimesNewRomanNotBoldNotItalicChar">
    <w:name w:val="Style Heading 2 + Times New Roman Not Bold Not Italic Char"/>
    <w:basedOn w:val="Heading2Char"/>
    <w:link w:val="StyleHeading2TimesNewRomanNotBoldNotItalic"/>
    <w:rsid w:val="009440B3"/>
    <w:rPr>
      <w:rFonts w:ascii="Times New Roman" w:eastAsia="Times New Roman" w:hAnsi="Times New Roman" w:cs="Arial"/>
      <w:b/>
      <w:bCs/>
      <w:color w:val="4F81BD" w:themeColor="accent1"/>
      <w:sz w:val="28"/>
      <w:szCs w:val="28"/>
      <w:lang w:val="vi-VN" w:eastAsia="vi-VN"/>
    </w:rPr>
  </w:style>
  <w:style w:type="paragraph" w:customStyle="1" w:styleId="Dieu">
    <w:name w:val="Dieu"/>
    <w:rsid w:val="009440B3"/>
    <w:pPr>
      <w:spacing w:before="120" w:after="120" w:line="360" w:lineRule="auto"/>
      <w:ind w:firstLine="720"/>
    </w:pPr>
    <w:rPr>
      <w:rFonts w:ascii="Times New Roman" w:eastAsia="Times New Roman" w:hAnsi="Times New Roman" w:cs="Arial"/>
      <w:b/>
      <w:sz w:val="28"/>
      <w:szCs w:val="28"/>
      <w:lang w:val="vi-VN" w:eastAsia="vi-VN"/>
    </w:rPr>
  </w:style>
  <w:style w:type="paragraph" w:customStyle="1" w:styleId="Than">
    <w:name w:val="Than"/>
    <w:basedOn w:val="Normal"/>
    <w:rsid w:val="009440B3"/>
    <w:pPr>
      <w:spacing w:before="120" w:after="120" w:line="360" w:lineRule="auto"/>
      <w:ind w:firstLine="720"/>
      <w:jc w:val="both"/>
    </w:pPr>
    <w:rPr>
      <w:sz w:val="28"/>
      <w:szCs w:val="28"/>
    </w:rPr>
  </w:style>
  <w:style w:type="character" w:customStyle="1" w:styleId="Heading2Char">
    <w:name w:val="Heading 2 Char"/>
    <w:basedOn w:val="DefaultParagraphFont"/>
    <w:link w:val="Heading2"/>
    <w:uiPriority w:val="9"/>
    <w:semiHidden/>
    <w:rsid w:val="009440B3"/>
    <w:rPr>
      <w:rFonts w:asciiTheme="majorHAnsi" w:eastAsiaTheme="majorEastAsia" w:hAnsiTheme="majorHAnsi" w:cstheme="majorBidi"/>
      <w:b/>
      <w:bCs/>
      <w:color w:val="4F81BD" w:themeColor="accent1"/>
      <w:sz w:val="26"/>
      <w:szCs w:val="26"/>
      <w:lang w:val="vi-VN" w:eastAsia="vi-VN"/>
    </w:rPr>
  </w:style>
  <w:style w:type="paragraph" w:styleId="NormalWeb">
    <w:name w:val="Normal (Web)"/>
    <w:basedOn w:val="Normal"/>
    <w:uiPriority w:val="99"/>
    <w:rsid w:val="00F106B3"/>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CB3756"/>
    <w:rPr>
      <w:rFonts w:ascii="Tahoma" w:hAnsi="Tahoma" w:cs="Tahoma"/>
      <w:sz w:val="16"/>
      <w:szCs w:val="16"/>
    </w:rPr>
  </w:style>
  <w:style w:type="character" w:customStyle="1" w:styleId="BalloonTextChar">
    <w:name w:val="Balloon Text Char"/>
    <w:basedOn w:val="DefaultParagraphFont"/>
    <w:link w:val="BalloonText"/>
    <w:uiPriority w:val="99"/>
    <w:semiHidden/>
    <w:rsid w:val="00CB3756"/>
    <w:rPr>
      <w:rFonts w:ascii="Tahoma" w:eastAsia="Times New Roman" w:hAnsi="Tahoma" w:cs="Tahoma"/>
      <w:sz w:val="16"/>
      <w:szCs w:val="16"/>
      <w:lang w:val="vi-VN" w:eastAsia="vi-VN"/>
    </w:rPr>
  </w:style>
  <w:style w:type="paragraph" w:styleId="Header">
    <w:name w:val="header"/>
    <w:basedOn w:val="Normal"/>
    <w:link w:val="HeaderChar"/>
    <w:uiPriority w:val="99"/>
    <w:semiHidden/>
    <w:unhideWhenUsed/>
    <w:rsid w:val="00452BC5"/>
    <w:pPr>
      <w:tabs>
        <w:tab w:val="center" w:pos="4513"/>
        <w:tab w:val="right" w:pos="9026"/>
      </w:tabs>
    </w:pPr>
  </w:style>
  <w:style w:type="character" w:customStyle="1" w:styleId="HeaderChar">
    <w:name w:val="Header Char"/>
    <w:basedOn w:val="DefaultParagraphFont"/>
    <w:link w:val="Header"/>
    <w:uiPriority w:val="99"/>
    <w:semiHidden/>
    <w:rsid w:val="00452BC5"/>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452BC5"/>
    <w:pPr>
      <w:tabs>
        <w:tab w:val="center" w:pos="4513"/>
        <w:tab w:val="right" w:pos="9026"/>
      </w:tabs>
    </w:pPr>
  </w:style>
  <w:style w:type="character" w:customStyle="1" w:styleId="FooterChar">
    <w:name w:val="Footer Char"/>
    <w:basedOn w:val="DefaultParagraphFont"/>
    <w:link w:val="Footer"/>
    <w:uiPriority w:val="99"/>
    <w:rsid w:val="00452BC5"/>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Reuters</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Reuters</dc:creator>
  <cp:keywords/>
  <dc:description/>
  <cp:lastModifiedBy>admin</cp:lastModifiedBy>
  <cp:revision>87</cp:revision>
  <cp:lastPrinted>2015-11-02T09:47:00Z</cp:lastPrinted>
  <dcterms:created xsi:type="dcterms:W3CDTF">2013-10-02T03:51:00Z</dcterms:created>
  <dcterms:modified xsi:type="dcterms:W3CDTF">2015-11-12T03:29:00Z</dcterms:modified>
</cp:coreProperties>
</file>